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0CE58" w14:textId="5AFFD39F" w:rsidR="008F4E58" w:rsidRPr="002B4195" w:rsidRDefault="002B4195" w:rsidP="002B4195">
      <w:pPr>
        <w:jc w:val="right"/>
        <w:rPr>
          <w:rFonts w:ascii="Arial" w:hAnsi="Arial" w:cs="Arial"/>
          <w:bCs/>
          <w:sz w:val="20"/>
          <w:szCs w:val="20"/>
        </w:rPr>
      </w:pPr>
      <w:r w:rsidRPr="002B4195">
        <w:rPr>
          <w:rFonts w:ascii="Arial" w:hAnsi="Arial" w:cs="Arial"/>
          <w:bCs/>
          <w:sz w:val="20"/>
          <w:szCs w:val="20"/>
        </w:rPr>
        <w:t>Príloha č.2</w:t>
      </w:r>
    </w:p>
    <w:p w14:paraId="7693FE06" w14:textId="7E420CAA" w:rsidR="000A19A6" w:rsidRDefault="00D0681D" w:rsidP="00D0681D">
      <w:pPr>
        <w:jc w:val="center"/>
      </w:pPr>
      <w:r w:rsidRPr="00D0681D">
        <w:rPr>
          <w:rFonts w:ascii="Arial" w:hAnsi="Arial" w:cs="Arial"/>
          <w:b/>
          <w:sz w:val="28"/>
          <w:szCs w:val="28"/>
        </w:rPr>
        <w:t>Externý výkon funkcie manažéra  kybernetickej bezpečnosti</w:t>
      </w:r>
    </w:p>
    <w:p w14:paraId="044F6D58" w14:textId="77777777" w:rsidR="00D0681D" w:rsidRDefault="00D0681D" w:rsidP="008F4E58">
      <w:pPr>
        <w:spacing w:after="0"/>
        <w:jc w:val="both"/>
        <w:rPr>
          <w:rFonts w:ascii="Arial" w:hAnsi="Arial" w:cs="Arial"/>
        </w:rPr>
      </w:pPr>
    </w:p>
    <w:p w14:paraId="26853407" w14:textId="7F0FB6DE" w:rsidR="00D136D6" w:rsidRPr="002E0DA6" w:rsidRDefault="00D136D6" w:rsidP="008F4E58">
      <w:pPr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2E0DA6">
        <w:rPr>
          <w:rFonts w:ascii="Arial" w:hAnsi="Arial" w:cs="Arial"/>
          <w:b/>
          <w:bCs/>
          <w:sz w:val="20"/>
          <w:szCs w:val="20"/>
          <w:u w:val="single"/>
        </w:rPr>
        <w:t>Požiadavky – špecifikácia manažéra KB – aktivity vykonávajúce manažérom KB</w:t>
      </w:r>
    </w:p>
    <w:p w14:paraId="18E76FAB" w14:textId="3A160099" w:rsidR="006A7BC5" w:rsidRDefault="006A7BC5" w:rsidP="008F4E5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1A4181F" w14:textId="77777777" w:rsidR="002E0DA6" w:rsidRPr="002E0DA6" w:rsidRDefault="002E0DA6" w:rsidP="002E0DA6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E0DA6">
        <w:rPr>
          <w:rFonts w:ascii="Arial" w:hAnsi="Arial" w:cs="Arial"/>
          <w:sz w:val="20"/>
          <w:szCs w:val="20"/>
        </w:rPr>
        <w:t>Rola Manažéra kybernetickej bezpečnosti má oporu v § 17d vyhlášky NBÚ č. 362/2018 Z. z., ktorý stanovuje obsah bezpečnostných opatrení pre oblasť podľa § 20 ods. 3 písm. a) zákona.</w:t>
      </w:r>
    </w:p>
    <w:p w14:paraId="2F3E2605" w14:textId="77777777" w:rsidR="002E0DA6" w:rsidRPr="002E0DA6" w:rsidRDefault="002E0DA6" w:rsidP="002E0DA6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E0DA6">
        <w:rPr>
          <w:rFonts w:ascii="Arial" w:hAnsi="Arial" w:cs="Arial"/>
          <w:sz w:val="20"/>
          <w:szCs w:val="20"/>
        </w:rPr>
        <w:t>Manažér kybernetickej bezpečnosti je zodpovedný za predchádzanie kybernetickým bezpečnostným incidentom a minimalizovanie vplyvu kybernetických bezpečnostných incidentov na kontinuitu prevádzkovania služieb organizácie.</w:t>
      </w:r>
    </w:p>
    <w:p w14:paraId="7E454F9A" w14:textId="77777777" w:rsidR="002E0DA6" w:rsidRPr="002E0DA6" w:rsidRDefault="002E0DA6" w:rsidP="002E0DA6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E0DA6">
        <w:rPr>
          <w:rFonts w:ascii="Arial" w:hAnsi="Arial" w:cs="Arial"/>
          <w:sz w:val="20"/>
          <w:szCs w:val="20"/>
        </w:rPr>
        <w:t>Manažér kybernetickej bezpečnosti musí spĺňať znalostné štandardy na funkciu Manažéra kybernetickej bezpečnosti a musí byť nezávislý od riadenia prevádzky a vývoja IT služieb.</w:t>
      </w:r>
    </w:p>
    <w:p w14:paraId="440BB337" w14:textId="77777777" w:rsidR="002E0DA6" w:rsidRPr="002E0DA6" w:rsidRDefault="002E0DA6" w:rsidP="002E0DA6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E0DA6">
        <w:rPr>
          <w:rFonts w:ascii="Arial" w:hAnsi="Arial" w:cs="Arial"/>
          <w:sz w:val="20"/>
          <w:szCs w:val="20"/>
        </w:rPr>
        <w:t>Profil Manažéra kybernetickej bezpečnosti je zhrnutý v tabuľke nižšie (z neho sú potom vyvodené jeho zodpovednosti a právomoci).´</w:t>
      </w:r>
    </w:p>
    <w:p w14:paraId="334DD0AA" w14:textId="77777777" w:rsidR="002E0DA6" w:rsidRPr="002E0DA6" w:rsidRDefault="002E0DA6" w:rsidP="002E0DA6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2E0DA6" w:rsidRPr="002E0DA6" w14:paraId="50B68D70" w14:textId="77777777" w:rsidTr="000441D2">
        <w:tc>
          <w:tcPr>
            <w:tcW w:w="4530" w:type="dxa"/>
            <w:shd w:val="clear" w:color="auto" w:fill="F2F2F2" w:themeFill="background1" w:themeFillShade="F2"/>
            <w:vAlign w:val="center"/>
          </w:tcPr>
          <w:p w14:paraId="4B4AE34C" w14:textId="77777777" w:rsidR="002E0DA6" w:rsidRPr="002E0DA6" w:rsidRDefault="002E0DA6" w:rsidP="002E0DA6">
            <w:pPr>
              <w:tabs>
                <w:tab w:val="left" w:pos="851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E0DA6">
              <w:rPr>
                <w:rFonts w:ascii="Arial" w:hAnsi="Arial" w:cs="Arial"/>
              </w:rPr>
              <w:t>Oblasť:</w:t>
            </w:r>
          </w:p>
        </w:tc>
        <w:tc>
          <w:tcPr>
            <w:tcW w:w="4530" w:type="dxa"/>
            <w:shd w:val="clear" w:color="auto" w:fill="F2F2F2" w:themeFill="background1" w:themeFillShade="F2"/>
            <w:vAlign w:val="center"/>
          </w:tcPr>
          <w:p w14:paraId="12FEB6C6" w14:textId="77777777" w:rsidR="002E0DA6" w:rsidRPr="002E0DA6" w:rsidRDefault="002E0DA6" w:rsidP="002E0DA6">
            <w:pPr>
              <w:tabs>
                <w:tab w:val="left" w:pos="851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E0DA6">
              <w:rPr>
                <w:rFonts w:ascii="Arial" w:hAnsi="Arial" w:cs="Arial"/>
              </w:rPr>
              <w:t>Charakteristika:</w:t>
            </w:r>
          </w:p>
        </w:tc>
      </w:tr>
      <w:tr w:rsidR="002E0DA6" w:rsidRPr="002E0DA6" w14:paraId="7A39FA05" w14:textId="77777777" w:rsidTr="000441D2">
        <w:tc>
          <w:tcPr>
            <w:tcW w:w="4530" w:type="dxa"/>
            <w:vAlign w:val="center"/>
          </w:tcPr>
          <w:p w14:paraId="065CF4C8" w14:textId="77777777" w:rsidR="002E0DA6" w:rsidRPr="002E0DA6" w:rsidRDefault="002E0DA6" w:rsidP="002E0DA6">
            <w:pPr>
              <w:tabs>
                <w:tab w:val="left" w:pos="851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E0DA6">
              <w:rPr>
                <w:rFonts w:ascii="Arial" w:hAnsi="Arial" w:cs="Arial"/>
              </w:rPr>
              <w:t>Mandát</w:t>
            </w:r>
          </w:p>
        </w:tc>
        <w:tc>
          <w:tcPr>
            <w:tcW w:w="4530" w:type="dxa"/>
            <w:vAlign w:val="center"/>
          </w:tcPr>
          <w:p w14:paraId="37275022" w14:textId="77777777" w:rsidR="002E0DA6" w:rsidRPr="002E0DA6" w:rsidRDefault="002E0DA6" w:rsidP="002E0DA6">
            <w:pPr>
              <w:tabs>
                <w:tab w:val="left" w:pos="851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E0DA6">
              <w:rPr>
                <w:rFonts w:ascii="Arial" w:hAnsi="Arial" w:cs="Arial"/>
              </w:rPr>
              <w:t>Zodpovednosť za operatívne riadenie oblasti kybernetickej bezpečnosti</w:t>
            </w:r>
          </w:p>
        </w:tc>
      </w:tr>
      <w:tr w:rsidR="002E0DA6" w:rsidRPr="002E0DA6" w14:paraId="3DED4854" w14:textId="77777777" w:rsidTr="000441D2">
        <w:tc>
          <w:tcPr>
            <w:tcW w:w="4530" w:type="dxa"/>
            <w:vAlign w:val="center"/>
          </w:tcPr>
          <w:p w14:paraId="1D399192" w14:textId="77777777" w:rsidR="002E0DA6" w:rsidRPr="002E0DA6" w:rsidRDefault="002E0DA6" w:rsidP="002E0DA6">
            <w:pPr>
              <w:tabs>
                <w:tab w:val="left" w:pos="851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E0DA6">
              <w:rPr>
                <w:rFonts w:ascii="Arial" w:hAnsi="Arial" w:cs="Arial"/>
              </w:rPr>
              <w:t>Rozsah činnosti / zodpovednosť</w:t>
            </w:r>
          </w:p>
        </w:tc>
        <w:tc>
          <w:tcPr>
            <w:tcW w:w="4530" w:type="dxa"/>
            <w:vAlign w:val="center"/>
          </w:tcPr>
          <w:p w14:paraId="44925C57" w14:textId="77777777" w:rsidR="002E0DA6" w:rsidRPr="002E0DA6" w:rsidRDefault="002E0DA6" w:rsidP="002E0DA6">
            <w:pPr>
              <w:tabs>
                <w:tab w:val="left" w:pos="851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E0DA6">
              <w:rPr>
                <w:rFonts w:ascii="Arial" w:hAnsi="Arial" w:cs="Arial"/>
              </w:rPr>
              <w:t>Riadenie oblasti kybernetickej bezpečnosti a jej monitorovanie pre všetky IS v správe organizácie ako poskytovateľa základnej služby</w:t>
            </w:r>
          </w:p>
        </w:tc>
      </w:tr>
      <w:tr w:rsidR="002E0DA6" w:rsidRPr="002E0DA6" w14:paraId="0B851591" w14:textId="77777777" w:rsidTr="000441D2">
        <w:tc>
          <w:tcPr>
            <w:tcW w:w="4530" w:type="dxa"/>
            <w:vAlign w:val="center"/>
          </w:tcPr>
          <w:p w14:paraId="52FC865F" w14:textId="77777777" w:rsidR="002E0DA6" w:rsidRPr="002E0DA6" w:rsidRDefault="002E0DA6" w:rsidP="002E0DA6">
            <w:pPr>
              <w:tabs>
                <w:tab w:val="left" w:pos="851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E0DA6">
              <w:rPr>
                <w:rFonts w:ascii="Arial" w:hAnsi="Arial" w:cs="Arial"/>
              </w:rPr>
              <w:t>Rozhodovacie právomoci</w:t>
            </w:r>
          </w:p>
        </w:tc>
        <w:tc>
          <w:tcPr>
            <w:tcW w:w="4530" w:type="dxa"/>
            <w:vAlign w:val="center"/>
          </w:tcPr>
          <w:p w14:paraId="3CBBCBC5" w14:textId="77777777" w:rsidR="002E0DA6" w:rsidRPr="002E0DA6" w:rsidRDefault="002E0DA6" w:rsidP="002E0DA6">
            <w:pPr>
              <w:tabs>
                <w:tab w:val="left" w:pos="851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E0DA6">
              <w:rPr>
                <w:rFonts w:ascii="Arial" w:hAnsi="Arial" w:cs="Arial"/>
              </w:rPr>
              <w:t>Návrh odporúčaní a konceptov pre implementáciu dostatočných kontrolných mechanizmov a procesov pre oblasť riadenia a monitorovania kybernetickej bezpečnosti</w:t>
            </w:r>
          </w:p>
        </w:tc>
      </w:tr>
      <w:tr w:rsidR="002E0DA6" w:rsidRPr="002E0DA6" w14:paraId="7A131BB4" w14:textId="77777777" w:rsidTr="000441D2">
        <w:tc>
          <w:tcPr>
            <w:tcW w:w="4530" w:type="dxa"/>
            <w:vAlign w:val="center"/>
          </w:tcPr>
          <w:p w14:paraId="0B991CB8" w14:textId="77777777" w:rsidR="002E0DA6" w:rsidRPr="002E0DA6" w:rsidRDefault="002E0DA6" w:rsidP="002E0DA6">
            <w:pPr>
              <w:tabs>
                <w:tab w:val="left" w:pos="851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E0DA6">
              <w:rPr>
                <w:rFonts w:ascii="Arial" w:hAnsi="Arial" w:cs="Arial"/>
              </w:rPr>
              <w:t>Eskalácia / reportovanie</w:t>
            </w:r>
          </w:p>
        </w:tc>
        <w:tc>
          <w:tcPr>
            <w:tcW w:w="4530" w:type="dxa"/>
            <w:vAlign w:val="center"/>
          </w:tcPr>
          <w:p w14:paraId="0BEF656F" w14:textId="77777777" w:rsidR="002E0DA6" w:rsidRPr="002E0DA6" w:rsidRDefault="002E0DA6" w:rsidP="002E0DA6">
            <w:pPr>
              <w:tabs>
                <w:tab w:val="left" w:pos="851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E0DA6">
              <w:rPr>
                <w:rFonts w:ascii="Arial" w:hAnsi="Arial" w:cs="Arial"/>
              </w:rPr>
              <w:t>Manažér kybernetickej bezpečnosti reportuje a eskaluje prípadné problémy priamo Bezpečnostnému výboru</w:t>
            </w:r>
          </w:p>
        </w:tc>
      </w:tr>
    </w:tbl>
    <w:p w14:paraId="4A1AB410" w14:textId="77777777" w:rsidR="002E0DA6" w:rsidRPr="002E0DA6" w:rsidRDefault="002E0DA6" w:rsidP="002E0DA6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D7AA466" w14:textId="77777777" w:rsidR="002E0DA6" w:rsidRPr="002E0DA6" w:rsidRDefault="002E0DA6" w:rsidP="002E0DA6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E0DA6">
        <w:rPr>
          <w:rFonts w:ascii="Arial" w:hAnsi="Arial" w:cs="Arial"/>
          <w:sz w:val="20"/>
          <w:szCs w:val="20"/>
        </w:rPr>
        <w:t>Manažér kybernetickej a informačnej bezpečnosti najmä:</w:t>
      </w:r>
    </w:p>
    <w:p w14:paraId="6501CE0B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t>spolupracuje pri príprave východiskového strategického dokumentu, ktorý určuje prístup k zabezpečovaniu kybernetickej bezpečnosti, t. j. dokumentu „Stratégia kybernetickej bezpečnosti“ a zodpovedá za jej pravidelnú revíziu a aktualizáciu,</w:t>
      </w:r>
    </w:p>
    <w:p w14:paraId="114A78E8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t>spolupracuje na vyhodnocovaní bezpečnostných cieľov v súlade a v periodicite definovanej dokumentom „Stratégia kybernetickej bezpečnosti“,</w:t>
      </w:r>
    </w:p>
    <w:p w14:paraId="710D07E3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t>tvorí návrhy politík, smerníc a pravidiel pre oblasť kybernetickej bezpečnosti,</w:t>
      </w:r>
    </w:p>
    <w:p w14:paraId="1BF484BB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t>spolupracuje na príprave rozpočtu pre kybernetickú bezpečnosť,</w:t>
      </w:r>
    </w:p>
    <w:p w14:paraId="0E94B7C1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t>spolupracuje pri analýze rizík a pri jej aktualizácii (riziká týkajúce sa kybernetickej bezpečnosti),</w:t>
      </w:r>
    </w:p>
    <w:p w14:paraId="7A5A14F7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t>v rámci procesu klasifikácie a evidencie informácii posudzuje odôvodnenia spracovateľov informácií a odsúhlasuje zverejnenie informácií v súlade so zákonom č. 211/2000 Z. z. o slobodnom prístupe k informáciám a o zmene a doplnení niektorých zákonov (zákon o slobode informácií) v znení neskorších predpisov),</w:t>
      </w:r>
    </w:p>
    <w:p w14:paraId="6CE34E39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lastRenderedPageBreak/>
        <w:t>predkladá návrhy a oznamuje informácie v oblasti kybernetickej bezpečnosti priamo Bezpečnostnému výboru,</w:t>
      </w:r>
    </w:p>
    <w:p w14:paraId="673CE2B5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t>spolupracuje pri implementácii nových technických riešení (IT architektúra, riadenie zmien, riadenie projektov a pod.) z pohľadu vplyvu na oblasť kybernetickej bezpečnosti,</w:t>
      </w:r>
    </w:p>
    <w:p w14:paraId="25D2194A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t>dohliada na prijímanie, dodržiavanie a preverovanie účinnosti prijatých opatrení v oblasti kybernetickej bezpečnosti,</w:t>
      </w:r>
    </w:p>
    <w:p w14:paraId="0820F611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t>spolupracuje pri uzatváraní zmluvy o zabezpečení plnenia bezpečnostných opatrení a notifikačných povinností podľa zákona o kybernetickej bezpečnosti s externým dodávateľom, ktorý poskytuje služby týkajúce sa vývoja, implementácie a prevádzky IS v správe organizácie,</w:t>
      </w:r>
    </w:p>
    <w:p w14:paraId="738C96E8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t>vykonáva pravidelné audity kybernetickej bezpečnosti v zmysle legislatívnych alebo interných plánov, prípadne vykonáva mimoriadne audity podľa potreby (napr. v prípade podozrenia na kybernetický bezpečnostný incident),</w:t>
      </w:r>
    </w:p>
    <w:p w14:paraId="73862CFA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t>zaisťuje, že ak dôjde ku kybernetickým bezpečnostným incidentom alebo narušeniu dôvernosti, integrity alebo dostupnosti informačných aktív, tieto incidenty sa vyriešia pohotovo a účinne budú ohlásené v súlade s platnou legislatívou,</w:t>
      </w:r>
    </w:p>
    <w:p w14:paraId="7D7865D5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t>zaisťuje, že budú prijaté opatrenia minimalizujúce možnosť opakovania kybernetických bezpečnostných incidentov.</w:t>
      </w:r>
    </w:p>
    <w:p w14:paraId="0EE795B1" w14:textId="77777777" w:rsidR="002E0DA6" w:rsidRPr="002E0DA6" w:rsidRDefault="002E0DA6" w:rsidP="002E0DA6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E0DA6">
        <w:rPr>
          <w:rFonts w:ascii="Arial" w:hAnsi="Arial" w:cs="Arial"/>
          <w:sz w:val="20"/>
          <w:szCs w:val="20"/>
        </w:rPr>
        <w:t>Manažér kybernetickej a informačnej bezpečnosti taktiež spolupracuje s inými útvarmi v nasledovných oblastiach:</w:t>
      </w:r>
    </w:p>
    <w:p w14:paraId="65665DC6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t>vyšetrovanie a forenzné analýzy,</w:t>
      </w:r>
    </w:p>
    <w:p w14:paraId="232850CB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t>sociálne a personálne aspekty (napr. tzv. „</w:t>
      </w:r>
      <w:proofErr w:type="spellStart"/>
      <w:r w:rsidRPr="002E0DA6">
        <w:rPr>
          <w:sz w:val="20"/>
          <w:szCs w:val="20"/>
        </w:rPr>
        <w:t>background</w:t>
      </w:r>
      <w:proofErr w:type="spellEnd"/>
      <w:r w:rsidRPr="002E0DA6">
        <w:rPr>
          <w:sz w:val="20"/>
          <w:szCs w:val="20"/>
        </w:rPr>
        <w:t xml:space="preserve"> </w:t>
      </w:r>
      <w:proofErr w:type="spellStart"/>
      <w:r w:rsidRPr="002E0DA6">
        <w:rPr>
          <w:sz w:val="20"/>
          <w:szCs w:val="20"/>
        </w:rPr>
        <w:t>checks</w:t>
      </w:r>
      <w:proofErr w:type="spellEnd"/>
      <w:r w:rsidRPr="002E0DA6">
        <w:rPr>
          <w:sz w:val="20"/>
          <w:szCs w:val="20"/>
        </w:rPr>
        <w:t>“),</w:t>
      </w:r>
    </w:p>
    <w:p w14:paraId="5CB049BF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t>IT architektúra (najmä z pohľadu kybernetickej bezpečnosti),</w:t>
      </w:r>
    </w:p>
    <w:p w14:paraId="720A0198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t>bezpečnostné nástroje,</w:t>
      </w:r>
    </w:p>
    <w:p w14:paraId="04EC22ED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t>kontroly plnenia bezpečnostných opatrení,</w:t>
      </w:r>
    </w:p>
    <w:p w14:paraId="72049791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t>riadenie prístupových práv,</w:t>
      </w:r>
    </w:p>
    <w:p w14:paraId="35377BBB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t>riadenie zmien a projektov,</w:t>
      </w:r>
    </w:p>
    <w:p w14:paraId="2C9277B2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t>konfiguračný manažment,</w:t>
      </w:r>
    </w:p>
    <w:p w14:paraId="0A06BB70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t>riadenie rizík v oblasti kybernetickej bezpečnosti, identifikácia možných dopadov relevantných hrozieb a pravdepodobnosti ich uplatnenia,</w:t>
      </w:r>
    </w:p>
    <w:p w14:paraId="3F516E03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t>analýzy funkčného dopadu,</w:t>
      </w:r>
    </w:p>
    <w:p w14:paraId="31F63704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t>riadenie vzťahov s dodávateľmi v kontexte dodržiavania pravidiel kybernetickej bezpečnosti,</w:t>
      </w:r>
    </w:p>
    <w:p w14:paraId="4DA96AB2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t>stanovovanie a kontrola dodržiavania pravidiel kybernetickej bezpečnosti zo strany zamestnancov a dodávateľov,</w:t>
      </w:r>
    </w:p>
    <w:p w14:paraId="776F0B1F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t>zvyšovanie povedomia o kybernetickej bezpečnosti a zaškoľovanie/preškoľovanie všetkých zamestnancov a dodávateľov,</w:t>
      </w:r>
    </w:p>
    <w:p w14:paraId="0628F169" w14:textId="0D16C261" w:rsid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t>inovácie v oblasti kybernetickej bezpečnosti</w:t>
      </w:r>
      <w:r>
        <w:rPr>
          <w:sz w:val="20"/>
          <w:szCs w:val="20"/>
        </w:rPr>
        <w:t>.</w:t>
      </w:r>
    </w:p>
    <w:p w14:paraId="3D2BACAD" w14:textId="77777777" w:rsidR="002E0DA6" w:rsidRPr="002E0DA6" w:rsidRDefault="002E0DA6" w:rsidP="002E0DA6">
      <w:pPr>
        <w:pStyle w:val="Odsekzoznamu"/>
        <w:spacing w:after="120" w:line="276" w:lineRule="auto"/>
        <w:ind w:left="426"/>
        <w:jc w:val="both"/>
        <w:rPr>
          <w:sz w:val="20"/>
          <w:szCs w:val="20"/>
        </w:rPr>
      </w:pPr>
    </w:p>
    <w:p w14:paraId="6BC20529" w14:textId="77777777" w:rsidR="002E0DA6" w:rsidRPr="002E0DA6" w:rsidRDefault="002E0DA6" w:rsidP="002E0DA6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E0DA6">
        <w:rPr>
          <w:rFonts w:ascii="Arial" w:hAnsi="Arial" w:cs="Arial"/>
          <w:sz w:val="20"/>
          <w:szCs w:val="20"/>
        </w:rPr>
        <w:t>Manažér kybernetickej a informačnej bezpečnosti je ďalej povinný:</w:t>
      </w:r>
    </w:p>
    <w:p w14:paraId="0D4CE2B2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t>aktívne spolupracovať s Bezpečnostným výborom a plniť úlohy predsedu Bezpečnostného výboru,</w:t>
      </w:r>
    </w:p>
    <w:p w14:paraId="59A1703F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t>pravidelne reportovať stav a výkonnosť kybernetickej bezpečnosti Bezpečnostnému výboru,</w:t>
      </w:r>
    </w:p>
    <w:p w14:paraId="215C19D3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t>riadiť riešenie kybernetických bezpečnostných incidentov,</w:t>
      </w:r>
    </w:p>
    <w:p w14:paraId="65576D92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t>bezodkladne hlásiť závažný kybernetický bezpečnostný incident prostredníctvom jednotného informačného systému kybernetickej bezpečnosti,</w:t>
      </w:r>
    </w:p>
    <w:p w14:paraId="66136389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t>spolupracovať s Národným bezpečnostným úradom pri riešení hláseného kybernetického bezpečnostného incidentu a na tento účel im poskytnúť potrebnú súčinnosť, ako aj vlastné informácie dôležité pre riešenie kybernetického bezpečnostného incidentu,</w:t>
      </w:r>
    </w:p>
    <w:p w14:paraId="10DE7562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lastRenderedPageBreak/>
        <w:t>v čase kybernetického bezpečnostného incidentu zabezpečiť dôkaz alebo dôkazný prostriedok tak, aby mohol byť použitý v trestnom konaní,</w:t>
      </w:r>
    </w:p>
    <w:p w14:paraId="4149F8AF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t>oznámiť orgánu činnému v trestnom konaní alebo Policajnému zboru skutočnosti, že bol spáchaný trestný čin, ktorého sa kybernetický bezpečnostný incident týka,</w:t>
      </w:r>
    </w:p>
    <w:p w14:paraId="4DD6215F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t>oznámiť a preukázať Národnému bezpečnostnému úradu vykonanie reaktívneho opatrenia a jeho výsledok, v prípade ak bolo prijaté reaktívne opatrenie,</w:t>
      </w:r>
    </w:p>
    <w:p w14:paraId="2ACB2483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t>informovať v nevyhnutnom rozsahu tretiu stranu o hlásenom kybernetickom bezpečnostnom incidente za predpokladu, že by sa plnenie zmluvy s treťou stranou stalo nemožným.</w:t>
      </w:r>
    </w:p>
    <w:p w14:paraId="4E4477C0" w14:textId="77777777" w:rsidR="002E0DA6" w:rsidRPr="002E0DA6" w:rsidRDefault="002E0DA6" w:rsidP="002E0DA6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E0DA6">
        <w:rPr>
          <w:rFonts w:ascii="Arial" w:hAnsi="Arial" w:cs="Arial"/>
          <w:sz w:val="20"/>
          <w:szCs w:val="20"/>
        </w:rPr>
        <w:t>Manažér kybernetickej a informačnej bezpečnosti má právo od iných organizačných útvarov žiadať:</w:t>
      </w:r>
    </w:p>
    <w:p w14:paraId="33B2E980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t>doplňujúce informácie,</w:t>
      </w:r>
    </w:p>
    <w:p w14:paraId="71B4AACA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t>logy,</w:t>
      </w:r>
    </w:p>
    <w:p w14:paraId="3B08F8AD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t>akúkoľvek súvisiacu podpornú dokumentáciu,</w:t>
      </w:r>
    </w:p>
    <w:p w14:paraId="6238D0E6" w14:textId="77777777" w:rsidR="002E0DA6" w:rsidRPr="002E0DA6" w:rsidRDefault="002E0DA6" w:rsidP="002E0DA6">
      <w:pPr>
        <w:pStyle w:val="Odsekzoznamu"/>
        <w:numPr>
          <w:ilvl w:val="0"/>
          <w:numId w:val="3"/>
        </w:numPr>
        <w:spacing w:after="120" w:line="276" w:lineRule="auto"/>
        <w:ind w:left="426" w:hanging="284"/>
        <w:jc w:val="both"/>
        <w:rPr>
          <w:sz w:val="20"/>
          <w:szCs w:val="20"/>
        </w:rPr>
      </w:pPr>
      <w:r w:rsidRPr="002E0DA6">
        <w:rPr>
          <w:sz w:val="20"/>
          <w:szCs w:val="20"/>
        </w:rPr>
        <w:t>umožnenie kontroly dodržiavania prijatých bezpečnostných opatrení kybernetickej bezpečnosti.</w:t>
      </w:r>
    </w:p>
    <w:p w14:paraId="38B2EF68" w14:textId="77777777" w:rsidR="002E0DA6" w:rsidRPr="002E0DA6" w:rsidRDefault="002E0DA6" w:rsidP="002E0DA6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E0DA6">
        <w:rPr>
          <w:rFonts w:ascii="Arial" w:hAnsi="Arial" w:cs="Arial"/>
          <w:sz w:val="20"/>
          <w:szCs w:val="20"/>
        </w:rPr>
        <w:t>Manažér kybernetickej a informačnej bezpečnosti je nezávislý od riadenia prevádzky a vývoja služieb informačných technológií.</w:t>
      </w:r>
    </w:p>
    <w:p w14:paraId="7921D2E2" w14:textId="77777777" w:rsidR="002E0DA6" w:rsidRPr="002E0DA6" w:rsidRDefault="002E0DA6" w:rsidP="002E0DA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2B3F8F3" w14:textId="77777777" w:rsidR="008F4E58" w:rsidRPr="002E0DA6" w:rsidRDefault="008F4E58" w:rsidP="002E0DA6">
      <w:pPr>
        <w:pStyle w:val="Odsekzoznamu"/>
        <w:tabs>
          <w:tab w:val="left" w:pos="426"/>
        </w:tabs>
        <w:ind w:left="426" w:hanging="426"/>
        <w:jc w:val="both"/>
        <w:rPr>
          <w:sz w:val="20"/>
          <w:szCs w:val="20"/>
        </w:rPr>
      </w:pPr>
    </w:p>
    <w:p w14:paraId="6D624D81" w14:textId="77777777" w:rsidR="00F842D9" w:rsidRPr="002E0DA6" w:rsidRDefault="00F842D9" w:rsidP="002E0DA6">
      <w:p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2E0DA6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Požiadavky – časový výkon manažéra KB</w:t>
      </w:r>
    </w:p>
    <w:p w14:paraId="6F4435C9" w14:textId="77777777" w:rsidR="008F4E58" w:rsidRPr="002E0DA6" w:rsidRDefault="008F4E58" w:rsidP="002E0DA6">
      <w:p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</w:p>
    <w:p w14:paraId="26D05DD3" w14:textId="68CC8533" w:rsidR="00F842D9" w:rsidRPr="002E0DA6" w:rsidRDefault="00F842D9" w:rsidP="002E0DA6">
      <w:pPr>
        <w:pStyle w:val="Odsekzoznamu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color w:val="000000"/>
          <w:sz w:val="20"/>
          <w:szCs w:val="20"/>
        </w:rPr>
      </w:pPr>
      <w:r w:rsidRPr="002E0DA6">
        <w:rPr>
          <w:color w:val="000000"/>
          <w:sz w:val="20"/>
          <w:szCs w:val="20"/>
        </w:rPr>
        <w:t xml:space="preserve">Predpokladaný počet ČH za kalendárny mesiac </w:t>
      </w:r>
      <w:r w:rsidR="006A7BC5" w:rsidRPr="002E0DA6">
        <w:rPr>
          <w:color w:val="000000"/>
          <w:sz w:val="20"/>
          <w:szCs w:val="20"/>
        </w:rPr>
        <w:t>56</w:t>
      </w:r>
      <w:r w:rsidRPr="002E0DA6">
        <w:rPr>
          <w:color w:val="000000"/>
          <w:sz w:val="20"/>
          <w:szCs w:val="20"/>
        </w:rPr>
        <w:t xml:space="preserve">, čo predstavuje </w:t>
      </w:r>
      <w:r w:rsidR="006A7BC5" w:rsidRPr="002E0DA6">
        <w:rPr>
          <w:color w:val="000000"/>
          <w:sz w:val="20"/>
          <w:szCs w:val="20"/>
        </w:rPr>
        <w:t>7</w:t>
      </w:r>
      <w:r w:rsidRPr="002E0DA6">
        <w:rPr>
          <w:color w:val="000000"/>
          <w:sz w:val="20"/>
          <w:szCs w:val="20"/>
        </w:rPr>
        <w:t xml:space="preserve"> pracovných dní v štandardnej dĺžke 8 h pracovného dňa.</w:t>
      </w:r>
    </w:p>
    <w:p w14:paraId="22AC4098" w14:textId="32ED33D0" w:rsidR="00F842D9" w:rsidRPr="002E0DA6" w:rsidRDefault="00F842D9" w:rsidP="002E0DA6">
      <w:pPr>
        <w:pStyle w:val="Odsekzoznamu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color w:val="000000"/>
          <w:sz w:val="20"/>
          <w:szCs w:val="20"/>
        </w:rPr>
      </w:pPr>
      <w:r w:rsidRPr="002E0DA6">
        <w:rPr>
          <w:color w:val="000000"/>
          <w:sz w:val="20"/>
          <w:szCs w:val="20"/>
        </w:rPr>
        <w:t>ČH – predstavuje jednu človekohodinu aktívneho výkonu činností manažéra kybernetickej bezpečnosti.</w:t>
      </w:r>
    </w:p>
    <w:p w14:paraId="4536D1FF" w14:textId="01AE90D5" w:rsidR="00F5442E" w:rsidRPr="002E0DA6" w:rsidRDefault="006A7BC5" w:rsidP="002E0DA6">
      <w:pPr>
        <w:pStyle w:val="Odsekzoznamu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color w:val="000000"/>
          <w:sz w:val="20"/>
          <w:szCs w:val="20"/>
        </w:rPr>
      </w:pPr>
      <w:r w:rsidRPr="002E0DA6">
        <w:rPr>
          <w:color w:val="000000"/>
          <w:sz w:val="20"/>
          <w:szCs w:val="20"/>
        </w:rPr>
        <w:t>56</w:t>
      </w:r>
      <w:r w:rsidR="00F5442E" w:rsidRPr="002E0DA6">
        <w:rPr>
          <w:color w:val="000000"/>
          <w:sz w:val="20"/>
          <w:szCs w:val="20"/>
        </w:rPr>
        <w:t xml:space="preserve"> ČH / mesiac na dobu </w:t>
      </w:r>
      <w:r w:rsidR="000E26B6" w:rsidRPr="002E0DA6">
        <w:rPr>
          <w:color w:val="000000"/>
          <w:sz w:val="20"/>
          <w:szCs w:val="20"/>
        </w:rPr>
        <w:t>24</w:t>
      </w:r>
      <w:r w:rsidR="00F5442E" w:rsidRPr="002E0DA6">
        <w:rPr>
          <w:color w:val="000000"/>
          <w:sz w:val="20"/>
          <w:szCs w:val="20"/>
        </w:rPr>
        <w:t xml:space="preserve"> mesiacov</w:t>
      </w:r>
    </w:p>
    <w:p w14:paraId="6323081D" w14:textId="48A14AEB" w:rsidR="00F842D9" w:rsidRPr="002E0DA6" w:rsidRDefault="00F5442E" w:rsidP="002E0DA6">
      <w:pPr>
        <w:pStyle w:val="Odsekzoznamu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b/>
          <w:bCs/>
          <w:color w:val="000000"/>
          <w:sz w:val="20"/>
          <w:szCs w:val="20"/>
        </w:rPr>
      </w:pPr>
      <w:r w:rsidRPr="002B4195">
        <w:rPr>
          <w:b/>
          <w:bCs/>
          <w:color w:val="000000"/>
          <w:sz w:val="20"/>
          <w:szCs w:val="20"/>
        </w:rPr>
        <w:t xml:space="preserve">Spolu </w:t>
      </w:r>
      <w:r w:rsidR="006A7BC5" w:rsidRPr="002B4195">
        <w:rPr>
          <w:b/>
          <w:bCs/>
          <w:color w:val="000000"/>
          <w:sz w:val="20"/>
          <w:szCs w:val="20"/>
        </w:rPr>
        <w:t>1344</w:t>
      </w:r>
      <w:r w:rsidRPr="002B4195">
        <w:rPr>
          <w:b/>
          <w:bCs/>
          <w:color w:val="000000"/>
          <w:sz w:val="20"/>
          <w:szCs w:val="20"/>
        </w:rPr>
        <w:t xml:space="preserve"> ČH </w:t>
      </w:r>
    </w:p>
    <w:sectPr w:rsidR="00F842D9" w:rsidRPr="002E0DA6" w:rsidSect="00A220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CF0B1" w14:textId="77777777" w:rsidR="00DC7DC1" w:rsidRDefault="00DC7DC1" w:rsidP="000A19A6">
      <w:pPr>
        <w:spacing w:after="0" w:line="240" w:lineRule="auto"/>
      </w:pPr>
      <w:r>
        <w:separator/>
      </w:r>
    </w:p>
  </w:endnote>
  <w:endnote w:type="continuationSeparator" w:id="0">
    <w:p w14:paraId="0FCF85B8" w14:textId="77777777" w:rsidR="00DC7DC1" w:rsidRDefault="00DC7DC1" w:rsidP="000A1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41FB9" w14:textId="77777777" w:rsidR="00DC7DC1" w:rsidRDefault="00DC7DC1" w:rsidP="000A19A6">
      <w:pPr>
        <w:spacing w:after="0" w:line="240" w:lineRule="auto"/>
      </w:pPr>
      <w:r>
        <w:separator/>
      </w:r>
    </w:p>
  </w:footnote>
  <w:footnote w:type="continuationSeparator" w:id="0">
    <w:p w14:paraId="5E08EC11" w14:textId="77777777" w:rsidR="00DC7DC1" w:rsidRDefault="00DC7DC1" w:rsidP="000A19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A7355"/>
    <w:multiLevelType w:val="hybridMultilevel"/>
    <w:tmpl w:val="83B8999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F036A1"/>
    <w:multiLevelType w:val="hybridMultilevel"/>
    <w:tmpl w:val="90D6D4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F5410C"/>
    <w:multiLevelType w:val="hybridMultilevel"/>
    <w:tmpl w:val="FB02369C"/>
    <w:lvl w:ilvl="0" w:tplc="861C5AAE">
      <w:numFmt w:val="bullet"/>
      <w:lvlText w:val="-"/>
      <w:lvlJc w:val="left"/>
      <w:pPr>
        <w:ind w:left="78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4374234">
    <w:abstractNumId w:val="1"/>
  </w:num>
  <w:num w:numId="2" w16cid:durableId="1814177166">
    <w:abstractNumId w:val="2"/>
  </w:num>
  <w:num w:numId="3" w16cid:durableId="106198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9A6"/>
    <w:rsid w:val="000A19A6"/>
    <w:rsid w:val="000C7687"/>
    <w:rsid w:val="000E26B6"/>
    <w:rsid w:val="001E7A10"/>
    <w:rsid w:val="00251AEF"/>
    <w:rsid w:val="002B4195"/>
    <w:rsid w:val="002E0DA6"/>
    <w:rsid w:val="004E3F58"/>
    <w:rsid w:val="00541C3E"/>
    <w:rsid w:val="006105BC"/>
    <w:rsid w:val="006A7BC5"/>
    <w:rsid w:val="00791FDC"/>
    <w:rsid w:val="007D5405"/>
    <w:rsid w:val="008F4E58"/>
    <w:rsid w:val="00A220B4"/>
    <w:rsid w:val="00B10C70"/>
    <w:rsid w:val="00B35B4C"/>
    <w:rsid w:val="00D0681D"/>
    <w:rsid w:val="00D136D6"/>
    <w:rsid w:val="00D2630A"/>
    <w:rsid w:val="00DC7DC1"/>
    <w:rsid w:val="00F5442E"/>
    <w:rsid w:val="00F8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51F72"/>
  <w15:docId w15:val="{6C399BB9-901D-45B6-BFB3-F7FF4E8F3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10C7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A1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A19A6"/>
  </w:style>
  <w:style w:type="paragraph" w:styleId="Pta">
    <w:name w:val="footer"/>
    <w:basedOn w:val="Normlny"/>
    <w:link w:val="PtaChar"/>
    <w:uiPriority w:val="99"/>
    <w:unhideWhenUsed/>
    <w:rsid w:val="000A1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A19A6"/>
  </w:style>
  <w:style w:type="paragraph" w:styleId="Odsekzoznamu">
    <w:name w:val="List Paragraph"/>
    <w:aliases w:val="A-Odrážky1,A-Odrážky"/>
    <w:basedOn w:val="Normlny"/>
    <w:link w:val="OdsekzoznamuChar"/>
    <w:uiPriority w:val="99"/>
    <w:qFormat/>
    <w:rsid w:val="000A19A6"/>
    <w:pPr>
      <w:spacing w:after="0" w:line="240" w:lineRule="auto"/>
      <w:contextualSpacing/>
    </w:pPr>
    <w:rPr>
      <w:rFonts w:ascii="Arial" w:hAnsi="Arial" w:cs="Arial"/>
      <w:sz w:val="24"/>
      <w:szCs w:val="24"/>
    </w:rPr>
  </w:style>
  <w:style w:type="character" w:customStyle="1" w:styleId="OdsekzoznamuChar">
    <w:name w:val="Odsek zoznamu Char"/>
    <w:aliases w:val="A-Odrážky1 Char,A-Odrážky Char"/>
    <w:link w:val="Odsekzoznamu"/>
    <w:uiPriority w:val="99"/>
    <w:rsid w:val="000A19A6"/>
    <w:rPr>
      <w:rFonts w:ascii="Arial" w:hAnsi="Arial" w:cs="Arial"/>
      <w:sz w:val="24"/>
      <w:szCs w:val="24"/>
    </w:rPr>
  </w:style>
  <w:style w:type="table" w:styleId="Mriekatabuky">
    <w:name w:val="Table Grid"/>
    <w:basedOn w:val="Normlnatabuka"/>
    <w:uiPriority w:val="59"/>
    <w:rsid w:val="002E0DA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Majka</dc:creator>
  <cp:lastModifiedBy>Ing. Katalin Szabó</cp:lastModifiedBy>
  <cp:revision>3</cp:revision>
  <cp:lastPrinted>2021-10-22T05:34:00Z</cp:lastPrinted>
  <dcterms:created xsi:type="dcterms:W3CDTF">2024-02-05T14:00:00Z</dcterms:created>
  <dcterms:modified xsi:type="dcterms:W3CDTF">2024-02-07T08:58:00Z</dcterms:modified>
</cp:coreProperties>
</file>